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3.xml" ContentType="application/vnd.openxmlformats-officedocument.customXml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right"/>
        <w:rPr>
          <w:rFonts w:ascii="Corbel" w:hAnsi="Corbel"/>
          <w:i/>
          <w:i/>
          <w:iCs/>
        </w:rPr>
      </w:pPr>
      <w:r>
        <w:rPr>
          <w:rFonts w:ascii="Corbel" w:hAnsi="Corbel"/>
          <w:i/>
          <w:iCs/>
        </w:rPr>
        <w:t>Załącznik nr 1.5 do Zarządzenia Rektora UR  nr 61/2025</w:t>
      </w:r>
    </w:p>
    <w:p>
      <w:pPr>
        <w:pStyle w:val="Normal"/>
        <w:spacing w:lineRule="auto" w:line="240" w:before="0" w:after="0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>
      <w:pPr>
        <w:pStyle w:val="Normal"/>
        <w:spacing w:lineRule="exact" w:line="240" w:before="0" w:after="0"/>
        <w:jc w:val="center"/>
        <w:rPr>
          <w:rFonts w:ascii="Corbel" w:hAnsi="Corbel"/>
          <w:i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  <w:color w:val="000000"/>
        </w:rPr>
        <w:t>2026-2031</w:t>
      </w:r>
    </w:p>
    <w:p>
      <w:pPr>
        <w:pStyle w:val="Normal"/>
        <w:spacing w:lineRule="exact" w:line="240" w:before="0" w:after="0"/>
        <w:jc w:val="center"/>
        <w:rPr>
          <w:rFonts w:ascii="Corbel" w:hAnsi="Corbel"/>
          <w:b/>
          <w:smallCaps/>
          <w:color w:val="000000"/>
        </w:rPr>
      </w:pPr>
      <w:r>
        <w:rPr>
          <w:rFonts w:ascii="Corbel" w:hAnsi="Corbel"/>
          <w:b/>
          <w:smallCaps/>
          <w:color w:val="000000"/>
        </w:rPr>
      </w:r>
    </w:p>
    <w:p>
      <w:pPr>
        <w:pStyle w:val="Normal"/>
        <w:spacing w:lineRule="exact" w:line="240" w:before="0" w:after="0"/>
        <w:jc w:val="both"/>
        <w:rPr>
          <w:color w:val="000000"/>
        </w:rPr>
      </w:pPr>
      <w:r>
        <w:rPr>
          <w:rFonts w:ascii="Corbel" w:hAnsi="Corbel"/>
          <w:i/>
          <w:color w:val="000000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color w:val="000000"/>
          <w:sz w:val="20"/>
          <w:szCs w:val="20"/>
        </w:rPr>
        <w:t>(skrajne daty</w:t>
      </w:r>
      <w:r>
        <w:rPr>
          <w:rFonts w:ascii="Corbel" w:hAnsi="Corbel"/>
          <w:color w:val="000000"/>
          <w:sz w:val="20"/>
          <w:szCs w:val="20"/>
        </w:rPr>
        <w:t>)</w:t>
      </w:r>
    </w:p>
    <w:p>
      <w:pPr>
        <w:pStyle w:val="Normal"/>
        <w:spacing w:lineRule="exact" w:line="240" w:before="0" w:after="0"/>
        <w:jc w:val="both"/>
        <w:rPr>
          <w:color w:val="000000"/>
        </w:rPr>
      </w:pPr>
      <w:r>
        <w:rPr>
          <w:rFonts w:ascii="Corbel" w:hAnsi="Corbel"/>
          <w:color w:val="000000"/>
          <w:sz w:val="20"/>
          <w:szCs w:val="20"/>
        </w:rPr>
        <w:tab/>
        <w:tab/>
        <w:tab/>
        <w:tab/>
        <w:t>Rok akademicki   2030/2031</w:t>
      </w:r>
    </w:p>
    <w:p>
      <w:pPr>
        <w:pStyle w:val="Normal"/>
        <w:spacing w:lineRule="auto" w:line="240" w:before="0" w:after="0"/>
        <w:rPr>
          <w:rFonts w:ascii="Corbel" w:hAnsi="Corbel"/>
        </w:rPr>
      </w:pPr>
      <w:r>
        <w:rPr>
          <w:rFonts w:ascii="Corbel" w:hAnsi="Corbel"/>
        </w:rPr>
      </w:r>
    </w:p>
    <w:p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683"/>
        <w:gridCol w:w="7098"/>
      </w:tblGrid>
      <w:tr>
        <w:trPr/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Projektowanie pracy z dzieckiem ze specjalnymi potrzebami edukacyjnymi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Wydział Pedagogiki i Filozofii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="0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Instytut Pedagogiki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Pedagogika Przedszkolna i Wczesnoszkolna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Jednolite studia magisterskie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Praktyczny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N</w:t>
            </w:r>
            <w:r>
              <w:rPr>
                <w:rFonts w:ascii="Corbel" w:hAnsi="Corbel"/>
                <w:b w:val="false"/>
                <w:sz w:val="24"/>
                <w:szCs w:val="24"/>
              </w:rPr>
              <w:t>iestacjonarne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Rok V, sem 10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F. Dziecko lub uczeń ze specjalnymi potrzebami rozwojowymi i edukacyjnymi w przedszkolu i klasach I-III szkoły podstawowej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Polski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dr Aneta Lew-Koralewicz</w:t>
            </w:r>
          </w:p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false"/>
                <w:sz w:val="24"/>
                <w:szCs w:val="24"/>
              </w:rPr>
              <w:t>mgr Barbara Drożańska</w:t>
            </w:r>
          </w:p>
        </w:tc>
      </w:tr>
    </w:tbl>
    <w:p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false"/>
          <w:i/>
          <w:sz w:val="24"/>
          <w:szCs w:val="24"/>
        </w:rPr>
        <w:t>opcjonalni</w:t>
      </w:r>
      <w:r>
        <w:rPr>
          <w:rFonts w:ascii="Corbel" w:hAnsi="Corbel"/>
          <w:b w:val="false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false"/>
          <w:i/>
          <w:sz w:val="24"/>
          <w:szCs w:val="24"/>
        </w:rPr>
        <w:t>zgodnie z ustaleniami w Jednostce</w:t>
      </w:r>
    </w:p>
    <w:p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p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tbl>
      <w:tblPr>
        <w:tblW w:w="9062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43"/>
        <w:gridCol w:w="877"/>
        <w:gridCol w:w="727"/>
        <w:gridCol w:w="850"/>
        <w:gridCol w:w="753"/>
        <w:gridCol w:w="798"/>
        <w:gridCol w:w="680"/>
        <w:gridCol w:w="909"/>
        <w:gridCol w:w="1110"/>
        <w:gridCol w:w="1315"/>
      </w:tblGrid>
      <w:tr>
        <w:trPr/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agwkitablic"/>
              <w:spacing w:lineRule="auto" w:line="24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>
        <w:trPr>
          <w:trHeight w:val="453" w:hRule="atLeast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>
      <w:pPr>
        <w:pStyle w:val="Podpunkty"/>
        <w:ind w:left="0"/>
        <w:rPr>
          <w:rFonts w:ascii="Corbel" w:hAnsi="Corbel"/>
          <w:b w:val="false"/>
          <w:sz w:val="24"/>
          <w:szCs w:val="24"/>
          <w:lang w:eastAsia="en-US"/>
        </w:rPr>
      </w:pPr>
      <w:r>
        <w:rPr>
          <w:rFonts w:ascii="Corbel" w:hAnsi="Corbel"/>
          <w:b w:val="false"/>
          <w:sz w:val="24"/>
          <w:szCs w:val="24"/>
          <w:lang w:eastAsia="en-US"/>
        </w:rPr>
      </w:r>
    </w:p>
    <w:p>
      <w:pPr>
        <w:pStyle w:val="Podpunkty"/>
        <w:rPr>
          <w:rFonts w:ascii="Corbel" w:hAnsi="Corbel"/>
          <w:b w:val="false"/>
          <w:sz w:val="24"/>
          <w:szCs w:val="24"/>
          <w:lang w:eastAsia="en-US"/>
        </w:rPr>
      </w:pPr>
      <w:r>
        <w:rPr>
          <w:rFonts w:ascii="Corbel" w:hAnsi="Corbel"/>
          <w:b w:val="false"/>
          <w:sz w:val="24"/>
          <w:szCs w:val="24"/>
          <w:lang w:eastAsia="en-US"/>
        </w:rPr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left="284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1.2.</w:t>
        <w:tab/>
        <w:t xml:space="preserve">Sposób realizacji zajęć  </w:t>
      </w:r>
    </w:p>
    <w:p>
      <w:pPr>
        <w:pStyle w:val="Punktygwne"/>
        <w:spacing w:before="0" w:after="0"/>
        <w:ind w:left="709"/>
        <w:rPr>
          <w:rFonts w:ascii="Corbel" w:hAnsi="Corbel"/>
          <w:b w:val="false"/>
          <w:caps w:val="false"/>
          <w:smallCaps w:val="false"/>
          <w:szCs w:val="24"/>
          <w:u w:val="single"/>
        </w:rPr>
      </w:pPr>
      <w:r>
        <w:rPr>
          <w:rFonts w:eastAsia="MS Gothic" w:cs="MS Gothic" w:hint="eastAsia" w:ascii="MS Gothic" w:hAnsi="MS Gothic"/>
          <w:b w:val="false"/>
          <w:szCs w:val="24"/>
          <w:u w:val="single"/>
        </w:rPr>
        <w:t>☐</w:t>
      </w:r>
      <w:r>
        <w:rPr>
          <w:rFonts w:ascii="Corbel" w:hAnsi="Corbel"/>
          <w:b w:val="false"/>
          <w:caps w:val="false"/>
          <w:smallCaps w:val="false"/>
          <w:szCs w:val="24"/>
          <w:u w:val="single"/>
        </w:rPr>
        <w:t xml:space="preserve"> </w:t>
      </w:r>
      <w:r>
        <w:rPr>
          <w:rFonts w:ascii="Corbel" w:hAnsi="Corbel"/>
          <w:b w:val="false"/>
          <w:caps w:val="false"/>
          <w:smallCaps w:val="false"/>
          <w:szCs w:val="24"/>
          <w:u w:val="single"/>
        </w:rPr>
        <w:t xml:space="preserve">zajęcia w formie tradycyjnej </w:t>
      </w:r>
    </w:p>
    <w:p>
      <w:pPr>
        <w:pStyle w:val="Punktygwne"/>
        <w:spacing w:before="0" w:after="0"/>
        <w:ind w:left="709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eastAsia="MS Gothic" w:cs="MS Gothic" w:hint="eastAsia" w:ascii="MS Gothic" w:hAnsi="MS Gothic"/>
          <w:b w:val="false"/>
          <w:szCs w:val="24"/>
        </w:rPr>
        <w:t>☐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</w:t>
      </w:r>
      <w:r>
        <w:rPr>
          <w:rFonts w:ascii="Corbel" w:hAnsi="Corbel"/>
          <w:b w:val="false"/>
          <w:caps w:val="false"/>
          <w:smallCaps w:val="false"/>
          <w:szCs w:val="24"/>
        </w:rPr>
        <w:t>zajęcia realizowane z wykorzystaniem metod i technik kształcenia na odległość</w:t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hanging="425" w:left="709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1.3 </w:t>
        <w:tab/>
        <w:t xml:space="preserve">Forma zaliczenia przedmiotu  (z toku) </w:t>
      </w:r>
      <w:r>
        <w:rPr>
          <w:rFonts w:ascii="Corbel" w:hAnsi="Corbel"/>
          <w:b w:val="false"/>
          <w:caps w:val="false"/>
          <w:smallCaps w:val="false"/>
          <w:szCs w:val="24"/>
        </w:rPr>
        <w:t>(egzamin, zaliczenie z oceną, zaliczenie bez oceny)</w:t>
      </w:r>
    </w:p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  <w:t>ZALICZENIE Z OCENĄ</w:t>
      </w:r>
    </w:p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40" w:after="4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Podstawowa wiedza z zakresu 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0"/>
              </w:rPr>
              <w:t>pedagogiki i psychologii, pedagogiki specjalnej, problematyki specjalnych potrzeb edukacyjnych.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się, treści Programowe i stosowane metody Dydaktyczne</w:t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</w:r>
    </w:p>
    <w:p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13"/>
        <w:gridCol w:w="8141"/>
      </w:tblGrid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rPr>
                <w:rFonts w:ascii="Corbel" w:hAnsi="Corbel"/>
                <w:b w:val="false"/>
                <w:bCs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false"/>
                <w:bCs/>
              </w:rPr>
              <w:t>Zapoznanie ze specyfiką organizowania pomocy psychologiczno-pedagogicznej dzieciom i uczniom o specjalnych potrzebach edukacyjnych w środowisku przedszkolnym i klasach I-III szkoły podstawowej.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ind w:left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rPr>
                <w:rFonts w:ascii="Corbel" w:hAnsi="Corbel"/>
                <w:b w:val="false"/>
                <w:bCs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false"/>
                <w:bCs/>
              </w:rPr>
              <w:t>Przygotowanie do planowania i realizowania procesu wychowania i kształcenia z uwzględnieniem specjalnych potrzeb edukacyjnych dzieci i uczniów, w tym z dziećmi z trudnościami adaptacyjnymi związanymi z doświadczeniem migracyjnym, pochodzącymi ze środowisk zróżnicowanych pod względem kulturowym lub z ograniczoną znajomością języka polskiego.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C3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rPr>
                <w:rFonts w:ascii="Corbel" w:hAnsi="Corbel"/>
                <w:b w:val="false"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false"/>
              </w:rPr>
              <w:t>Przygotowanie do przyjęcia współodpowiedzialności za proces planowania i realizowania wychowania i kształcenia dzieci i uczniów ze specjalnymi potrzebami edukacyjnymi i roli współpracy z ich rodzicami i opiekunami.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color w:val="000000"/>
          <w:szCs w:val="24"/>
        </w:rPr>
      </w:pPr>
      <w:r>
        <w:rPr>
          <w:rFonts w:ascii="Corbel" w:hAnsi="Corbel"/>
          <w:b w:val="false"/>
          <w:caps w:val="false"/>
          <w:smallCaps w:val="false"/>
          <w:color w:val="000000"/>
          <w:szCs w:val="24"/>
        </w:rPr>
      </w:r>
    </w:p>
    <w:p>
      <w:pPr>
        <w:pStyle w:val="Normal"/>
        <w:spacing w:lineRule="auto" w:line="240" w:before="0" w:after="0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>
      <w:pPr>
        <w:pStyle w:val="Normal"/>
        <w:spacing w:lineRule="auto" w:line="240" w:before="0" w:after="0"/>
        <w:rPr>
          <w:rFonts w:ascii="Corbel" w:hAnsi="Corbel"/>
        </w:rPr>
      </w:pPr>
      <w:r>
        <w:rPr>
          <w:rFonts w:ascii="Corbel" w:hAnsi="Corbel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90"/>
        <w:gridCol w:w="5532"/>
        <w:gridCol w:w="1832"/>
      </w:tblGrid>
      <w:tr>
        <w:trPr>
          <w:trHeight w:val="732" w:hRule="atLeast"/>
        </w:trPr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caps w:val="false"/>
                <w:smallCaps w:val="false"/>
                <w:szCs w:val="24"/>
              </w:rPr>
              <w:t>EK</w:t>
            </w: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 (efekt uczenia się)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Treść efektu uczenia się zdefiniowanego dla przedmiotu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Odniesienie do efektów  kierunkowych </w:t>
            </w:r>
            <w:r>
              <w:rPr>
                <w:rStyle w:val="FootnoteReference"/>
                <w:rFonts w:ascii="Corbel" w:hAnsi="Corbel"/>
                <w:b w:val="false"/>
                <w:caps w:val="false"/>
                <w:smallCaps w:val="false"/>
                <w:szCs w:val="24"/>
              </w:rPr>
              <w:footnoteReference w:id="2"/>
            </w:r>
          </w:p>
        </w:tc>
      </w:tr>
      <w:tr>
        <w:trPr/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  <w:bCs/>
                <w:smallCaps/>
              </w:rPr>
            </w:pPr>
            <w:r>
              <w:rPr>
                <w:rFonts w:ascii="Corbel" w:hAnsi="Corbel"/>
                <w:bCs/>
                <w:smallCaps/>
              </w:rPr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  <w:sz w:val="24"/>
              </w:rPr>
              <w:t>W zakresie wiedzy student zna i rozumie: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</w:r>
          </w:p>
        </w:tc>
      </w:tr>
      <w:tr>
        <w:trPr/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  <w:bCs/>
                <w:smallCaps/>
              </w:rPr>
            </w:pPr>
            <w:r>
              <w:rPr>
                <w:rFonts w:ascii="Corbel" w:hAnsi="Corbel"/>
                <w:bCs/>
              </w:rPr>
              <w:t>EK_01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F.W2. uwarunkowania specjalnych potrzeb rozwojowych i edukacyjnych dzieci w wieku przedszkolnym i uczniów w młodszym wieku szkolnym wynikających z niepełnosprawności lub innych przyczyn biopsychospołecznych, przejawiających się w obszarze rozwoju fizyczno-ruchowego, poznawczego i emocjonalno-społecznego.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PPiW.W13</w:t>
            </w:r>
          </w:p>
        </w:tc>
      </w:tr>
      <w:tr>
        <w:trPr/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EK</w:t>
              <w:softHyphen/>
              <w:t>_02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F.W5. teoretyczne podstawy, cele, formy i podstawy prawno-organizacyjne edukacji włączającej;</w:t>
            </w:r>
          </w:p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</w:rPr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PPiW.W06</w:t>
            </w:r>
          </w:p>
        </w:tc>
      </w:tr>
      <w:tr>
        <w:trPr/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  <w:sz w:val="24"/>
              </w:rPr>
              <w:t>W zakresie umiejętności student potrafi: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</w:r>
          </w:p>
        </w:tc>
      </w:tr>
      <w:tr>
        <w:trPr/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EK_03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F.U3. ocenić skuteczność procesu wykrywania,</w:t>
            </w:r>
          </w:p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 xml:space="preserve"> </w:t>
            </w:r>
            <w:r>
              <w:rPr>
                <w:rFonts w:ascii="Corbel" w:hAnsi="Corbel"/>
                <w:sz w:val="24"/>
              </w:rPr>
              <w:t>identyfikowania i zaspakajania specjalnych potrzeb rozwojowych i edukacyjnych dziecka w wieku przedszkolnym i ucznia w młodszym wieku szkolnym.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PpiW.U02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PPiW.U03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</w:r>
          </w:p>
        </w:tc>
      </w:tr>
      <w:tr>
        <w:trPr/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EK_04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F.U4. współpracować z rodziną i otoczeniem społecznym przedszkola lub szkoły w procesie planowania wychowania i kształcenia dzieci lub uczniów ze specjalnymi potrzebami rozwojowymi i edukacyjnymi;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PPiW.U14</w:t>
            </w:r>
          </w:p>
        </w:tc>
      </w:tr>
      <w:tr>
        <w:trPr/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  <w:smallCaps/>
              </w:rPr>
            </w:pPr>
            <w:r>
              <w:rPr/>
              <w:t>EK_05</w:t>
            </w:r>
          </w:p>
        </w:tc>
        <w:tc>
          <w:tcPr>
            <w:tcW w:w="5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F.U5. współpracować z rodzicami lub opiekunami dzieci lub uczniów ze specjalnymi potrzebami rozwojowymi i edukacyjnymi oraz z dziećmi w wieku przedszkolnym i uczniami w młodszym wieku szkolnym w procesie wychowania i kształcenia.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PPiW.U12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PPiW.U14</w:t>
            </w:r>
          </w:p>
        </w:tc>
      </w:tr>
      <w:tr>
        <w:trPr/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  <w:smallCaps/>
              </w:rPr>
            </w:pPr>
            <w:r>
              <w:rPr/>
              <w:t>EK_06</w:t>
            </w:r>
          </w:p>
        </w:tc>
        <w:tc>
          <w:tcPr>
            <w:tcW w:w="5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  <w:sz w:val="24"/>
              </w:rPr>
              <w:t>W zakresie kompetencji społecznych student  jest gotów do:</w:t>
            </w:r>
          </w:p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F.K1. przestrzegania zasad etycznego postępowania w procesie wychowania i kształcenia dzieci lub uczniów ze specjalnymi potrzebami rozwojowymi lub edukacyjnymi;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PPiW.K01</w:t>
            </w:r>
          </w:p>
        </w:tc>
      </w:tr>
      <w:tr>
        <w:trPr/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  <w:smallCaps/>
              </w:rPr>
            </w:pPr>
            <w:r>
              <w:rPr/>
              <w:t>EK_07</w:t>
            </w:r>
          </w:p>
        </w:tc>
        <w:tc>
          <w:tcPr>
            <w:tcW w:w="5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F.K2. przyjęcia współodpowiedzialności za sposób planowania i realizacji oraz rezultaty procesu wychowania i kształcenia dzieci lub uczniów ze specjalnymi potrzebami rozwojowymi lub edukacyjnymi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PPiW.K08</w:t>
            </w:r>
          </w:p>
        </w:tc>
      </w:tr>
    </w:tbl>
    <w:p>
      <w:pPr>
        <w:pStyle w:val="Normal"/>
        <w:rPr>
          <w:rFonts w:ascii="Corbel" w:hAnsi="Corbel"/>
          <w:b/>
        </w:rPr>
      </w:pPr>
      <w:r>
        <w:rPr>
          <w:rFonts w:ascii="Corbel" w:hAnsi="Corbel"/>
          <w:b/>
        </w:rPr>
      </w:r>
    </w:p>
    <w:p>
      <w:pPr>
        <w:pStyle w:val="ListParagraph"/>
        <w:spacing w:lineRule="auto" w:line="240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>
      <w:pPr>
        <w:pStyle w:val="ListParagraph"/>
        <w:numPr>
          <w:ilvl w:val="0"/>
          <w:numId w:val="4"/>
        </w:numPr>
        <w:spacing w:lineRule="auto" w:line="240" w:before="0" w:after="120"/>
        <w:contextualSpacing/>
        <w:jc w:val="both"/>
        <w:rPr>
          <w:rFonts w:ascii="Corbel" w:hAnsi="Corbel"/>
        </w:rPr>
      </w:pPr>
      <w:r>
        <w:rPr>
          <w:rFonts w:ascii="Corbel" w:hAnsi="Corbel"/>
        </w:rPr>
        <w:t xml:space="preserve">Problematyka wykładu </w:t>
      </w:r>
    </w:p>
    <w:p>
      <w:pPr>
        <w:pStyle w:val="ListParagraph"/>
        <w:spacing w:lineRule="auto" w:line="240" w:before="0" w:after="120"/>
        <w:ind w:left="1080"/>
        <w:contextualSpacing/>
        <w:jc w:val="both"/>
        <w:rPr>
          <w:rFonts w:ascii="Corbel" w:hAnsi="Corbel"/>
        </w:rPr>
      </w:pPr>
      <w:r>
        <w:rPr>
          <w:rFonts w:ascii="Corbel" w:hAnsi="Corbel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firstLine="250" w:left="-25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firstLine="250" w:left="-25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rPr>
          <w:rFonts w:ascii="Corbel" w:hAnsi="Corbel"/>
        </w:rPr>
      </w:pPr>
      <w:r>
        <w:rPr>
          <w:rFonts w:ascii="Corbel" w:hAnsi="Corbel"/>
        </w:rPr>
      </w:r>
    </w:p>
    <w:p>
      <w:pPr>
        <w:pStyle w:val="ListParagraph"/>
        <w:numPr>
          <w:ilvl w:val="0"/>
          <w:numId w:val="4"/>
        </w:numPr>
        <w:spacing w:lineRule="auto" w:line="240" w:before="0" w:after="200"/>
        <w:ind w:hanging="360" w:left="1080"/>
        <w:contextualSpacing/>
        <w:jc w:val="both"/>
        <w:rPr>
          <w:rFonts w:ascii="Corbel" w:hAnsi="Corbel"/>
        </w:rPr>
      </w:pPr>
      <w:r>
        <w:rPr>
          <w:rFonts w:ascii="Corbel" w:hAnsi="Corbel"/>
        </w:rPr>
        <w:t>Problematyka ćwiczeń konwersatoryjnych</w:t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0" w:lef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Wprowadzenie w problematykę przedmiotu, omówienie podstawowych terminów,</w:t>
            </w:r>
          </w:p>
          <w:p>
            <w:pPr>
              <w:pStyle w:val="ListParagraph"/>
              <w:spacing w:lineRule="auto" w:line="240" w:before="0" w:after="0"/>
              <w:ind w:hanging="708" w:left="708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charakterystyka specjalnych potrzeb edukacyjnych dzieci i uczniów w wieku przedszkolnym i  młodszym wieku szkolnym.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Rola pedagoga w procesie wspierania podopiecznych o specjalnych potrzebach edukacyjnych. Problematyka współpracy pedagoga, nauczyciela ze środowiskiem rodzinnym i zespołem</w:t>
            </w:r>
          </w:p>
          <w:p>
            <w:pPr>
              <w:pStyle w:val="ListParagraph"/>
              <w:spacing w:lineRule="auto" w:line="240" w:before="0" w:after="0"/>
              <w:ind w:hanging="708" w:left="708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specjalistów wspierających dziecko i jego rodzinę. Etyka w pracy pedagoga.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9" w:left="709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Podstawy planowania pracy z dzieckiem ze specjalnymi potrzebami edukacyjnymi. (Analiza wyników diagnozy funkcjonalnej, orzeczeń i opinii z poradni psychologiczno-pedagogicznych, obserwacji własnych, wyników diagnozy środowiska rodzinnego).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Formy i metody pomocy psychologiczno-pedagogicznej udzielanej uczniom o SPE.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Projektowanie indywidualnych programów edukacyjno-terapeutycznych dla dzieci i uczniów o  specjalnych potrzebach edukacyjnych wynikających z niepełnosprawności (uczeń z dysfunkcja słuchu, z dysfunkcją wzroku,                             z niepełnosprawnością ruchową, z afazją z niepełnosprawnością intelektualną,                   z zaburzeniami ze spektrum autyzmu, z  niepełnosprawnością sprzężoną).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Planowanie pracy z dzieckiem i uczniem o specjalnych potrzebach edukacyjnych wynikających  z niedostosowania społecznego lub zagrożenia niedostosowaniem społecznym.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Projektowanie oddziaływań wspierających proces wychowania i kształcenia podopiecznych ze  specyficznymi trudnościami w uczeniu się oraz niepowodzeniami edukacyjnymi.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Wspieranie rozwoju ucznia z zaburzeniami komunikacji językowej.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rPr>
                <w:rFonts w:ascii="Corbel" w:hAnsi="Corbel"/>
              </w:rPr>
            </w:pPr>
            <w:r>
              <w:rPr>
                <w:rStyle w:val="fontstyle01"/>
                <w:rFonts w:ascii="Corbel" w:hAnsi="Corbel"/>
              </w:rPr>
              <w:t>Planowanie pracy z uczniem szczególnie uzdolnionym.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Organizacja kształcenia i wychowania dzieci z chorobą przewlekłą (cukrzyca, padaczka,</w:t>
            </w:r>
          </w:p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hemofilia, astma, depresja, zaburzenia psychotyczne).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Projektowanie pracy z uczniem znajdującym się w sytuacji kryzysowej lub traumatycznej.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Planowanie pracy z uczniami wywodzącymi się ze środowisk zaniedbanych o trudnej sytuacji   bytowej i niskiej kulturze pedagogicznej rodziny.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59" w:left="59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Organizacja pracy dydaktyczno-wychowawczej i terapeutycznej z dziećmi i uczniami z trudności adaptacyjnymi związanymi z różnicami kulturowymi, ze zmianą środowiska edukacyjnego, w tym związanych z wcześniejszym kształceniem za granicą.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59" w:left="59"/>
              <w:contextualSpacing/>
              <w:jc w:val="both"/>
              <w:rPr>
                <w:rFonts w:ascii="Corbel" w:hAnsi="Corbel"/>
              </w:rPr>
            </w:pPr>
            <w:r>
              <w:rPr>
                <w:rStyle w:val="fontstyle01"/>
                <w:rFonts w:ascii="Corbel" w:hAnsi="Corbel"/>
              </w:rPr>
              <w:t>Analiza indywidualnych przypadków dzieci o SPE – praktyczne ćwiczenia w projektowaniu oddziaływań wspierających. Przygotowanie projektów – scenariuszy zajęć.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ind w:left="426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3.4 Metody dydaktyczne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jc w:val="both"/>
        <w:rPr>
          <w:rFonts w:ascii="Corbel" w:hAnsi="Corbel"/>
          <w:b w:val="false"/>
          <w:i/>
          <w:i/>
          <w:caps w:val="false"/>
          <w:smallCaps w:val="false"/>
          <w:sz w:val="20"/>
          <w:szCs w:val="20"/>
        </w:rPr>
      </w:pPr>
      <w:r>
        <w:rPr>
          <w:rFonts w:ascii="Corbel" w:hAnsi="Corbel"/>
          <w:b w:val="false"/>
          <w:i/>
          <w:caps w:val="false"/>
          <w:smallCaps w:val="false"/>
          <w:sz w:val="20"/>
          <w:szCs w:val="20"/>
        </w:rPr>
        <w:t xml:space="preserve">Ćwiczenia konwersatoryjne:  analiza tekstów z dyskusją, praca w grupach (rozwiązywanie zadań, dyskusja) </w:t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4. METODY I KRYTERIA OCENY </w:t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spacing w:before="0" w:after="0"/>
        <w:ind w:lef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4.1 Sposoby weryfikacji efektów uczenia się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55"/>
        <w:gridCol w:w="5027"/>
        <w:gridCol w:w="2072"/>
      </w:tblGrid>
      <w:tr>
        <w:trPr/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</w:rPr>
              <w:t>Symbol efektu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  <w:b/>
                <w:smallCaps/>
                <w:color w:val="000000"/>
              </w:rPr>
            </w:pPr>
            <w:r>
              <w:rPr>
                <w:rFonts w:ascii="Corbel" w:hAnsi="Corbel"/>
                <w:color w:val="000000"/>
              </w:rPr>
              <w:t>Metody oceny efektów uczenia się</w:t>
            </w:r>
          </w:p>
          <w:p>
            <w:pPr>
              <w:pStyle w:val="Normal"/>
              <w:spacing w:lineRule="auto" w:line="240" w:before="0" w:after="0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</w:rPr>
              <w:t>Forma zajęć dydaktycznych</w:t>
            </w:r>
          </w:p>
          <w:p>
            <w:pPr>
              <w:pStyle w:val="Normal"/>
              <w:spacing w:lineRule="auto" w:line="240" w:before="0" w:after="0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</w:rPr>
              <w:t>(w, ćw, …)</w:t>
            </w:r>
          </w:p>
        </w:tc>
      </w:tr>
      <w:tr>
        <w:trPr/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>EK_ 01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Kolokwium, 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Konwersatoria</w:t>
            </w:r>
          </w:p>
        </w:tc>
      </w:tr>
      <w:tr>
        <w:trPr/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>EK_ 02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Corbel" w:hAnsi="Corbel"/>
              </w:rPr>
              <w:t>Kolokwium, 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Konwersatoria</w:t>
            </w:r>
          </w:p>
        </w:tc>
      </w:tr>
      <w:tr>
        <w:trPr/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EK_03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Corbel" w:hAnsi="Corbel"/>
              </w:rPr>
              <w:t>Projekt, 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Konwersatoria</w:t>
            </w:r>
          </w:p>
        </w:tc>
      </w:tr>
      <w:tr>
        <w:trPr/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EK_ 04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Corbel" w:hAnsi="Corbel"/>
              </w:rPr>
              <w:t>Projekt, 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Konwersatoria</w:t>
            </w:r>
          </w:p>
        </w:tc>
      </w:tr>
      <w:tr>
        <w:trPr/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EK_ 05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Corbel" w:hAnsi="Corbel"/>
              </w:rPr>
              <w:t>Projekt, 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Konwersatoria</w:t>
            </w:r>
          </w:p>
        </w:tc>
      </w:tr>
      <w:tr>
        <w:trPr/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EK_06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Konwersatoria</w:t>
            </w:r>
          </w:p>
        </w:tc>
      </w:tr>
      <w:tr>
        <w:trPr/>
        <w:tc>
          <w:tcPr>
            <w:tcW w:w="1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EK_07</w:t>
            </w:r>
          </w:p>
        </w:tc>
        <w:tc>
          <w:tcPr>
            <w:tcW w:w="50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hanging="1587" w:left="113" w:right="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lef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4.2 Warunki zaliczenia przedmiotu (kryteria oceniania) :</w:t>
      </w:r>
    </w:p>
    <w:p>
      <w:pPr>
        <w:pStyle w:val="Punktygwne"/>
        <w:spacing w:before="0" w:after="0"/>
        <w:ind w:lef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tradycyjna </w:t>
      </w:r>
    </w:p>
    <w:p>
      <w:pPr>
        <w:pStyle w:val="Punktygwne"/>
        <w:spacing w:before="0" w:after="0"/>
        <w:ind w:lef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318" w:left="318"/>
              <w:rPr>
                <w:color w:val="000000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Obecność i aktywny udział w zajęciach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318" w:left="318"/>
              <w:rPr>
                <w:color w:val="000000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Pozytywna ocena z kolokwium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318" w:left="318"/>
              <w:rPr>
                <w:color w:val="000000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Przygotowanie indywidualnego programu edukacyjno-terapeutycznego na podstawie indywidualnego przypadku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318" w:left="318"/>
              <w:rPr>
                <w:color w:val="000000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Przygotowanie i prezentacja scenariusza zajęć dla dziecka o specjalnych potrzebach edukacyjnych</w:t>
            </w:r>
          </w:p>
          <w:p>
            <w:pPr>
              <w:pStyle w:val="Punktygwne"/>
              <w:spacing w:before="0" w:after="0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r>
          </w:p>
          <w:p>
            <w:pPr>
              <w:pStyle w:val="Punktygwne"/>
              <w:spacing w:before="0" w:after="0"/>
              <w:jc w:val="both"/>
              <w:rPr>
                <w:color w:val="000000"/>
                <w:highlight w:val="none"/>
                <w:shd w:fill="FFFFFF" w:val="clear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  <w:shd w:fill="FFFFFF" w:val="clear"/>
              </w:rPr>
              <w:t>Kryteria oceny prac pisemnych:</w:t>
            </w:r>
          </w:p>
          <w:p>
            <w:pPr>
              <w:pStyle w:val="Punktygwne"/>
              <w:spacing w:before="0" w:after="0"/>
              <w:jc w:val="both"/>
              <w:rPr>
                <w:color w:val="000000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5.0 - wykazuje znajomość każdej z treści kształcenia na poziomie 91%-100%</w:t>
            </w:r>
          </w:p>
          <w:p>
            <w:pPr>
              <w:pStyle w:val="Punktygwne"/>
              <w:spacing w:before="0" w:after="0"/>
              <w:jc w:val="both"/>
              <w:rPr>
                <w:color w:val="000000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4.5 – wykazuje znajomość każdej z treści kształcenia na poziomie 81%-90%</w:t>
            </w:r>
          </w:p>
          <w:p>
            <w:pPr>
              <w:pStyle w:val="Punktygwne"/>
              <w:spacing w:before="0" w:after="0"/>
              <w:jc w:val="both"/>
              <w:rPr>
                <w:color w:val="000000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4.0 – wykazuje znajomość każdej z treści kształcenia na poziomie 71%-80%</w:t>
            </w:r>
          </w:p>
          <w:p>
            <w:pPr>
              <w:pStyle w:val="Punktygwne"/>
              <w:spacing w:before="0" w:after="0"/>
              <w:jc w:val="both"/>
              <w:rPr>
                <w:color w:val="000000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3.5 – wykazuje znajomość każdej z treści kształcenia na poziomie 61%-70%</w:t>
            </w:r>
          </w:p>
          <w:p>
            <w:pPr>
              <w:pStyle w:val="Punktygwne"/>
              <w:spacing w:before="0" w:after="0"/>
              <w:jc w:val="both"/>
              <w:rPr>
                <w:color w:val="000000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3.0 – wykazuje znajomość każdej z treści kształcenia na poziomie 51%-60%</w:t>
            </w:r>
          </w:p>
          <w:p>
            <w:pPr>
              <w:pStyle w:val="Punktygwne"/>
              <w:spacing w:before="0" w:after="0"/>
              <w:jc w:val="both"/>
              <w:rPr>
                <w:color w:val="000000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2.0– wykazuje znajomość każdej z treści kształcenia poniżej 51%</w:t>
            </w:r>
          </w:p>
          <w:p>
            <w:pPr>
              <w:pStyle w:val="Punktygwne"/>
              <w:spacing w:before="0" w:after="0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r>
          </w:p>
          <w:p>
            <w:pPr>
              <w:pStyle w:val="Normal"/>
              <w:rPr>
                <w:color w:val="000000"/>
              </w:rPr>
            </w:pPr>
            <w:r>
              <w:rPr>
                <w:rFonts w:ascii="Corbel" w:hAnsi="Corbel"/>
                <w:color w:val="000000"/>
                <w:shd w:fill="FFFFFF" w:val="clear"/>
              </w:rPr>
              <w:t>Kryteria oceny projektów:</w:t>
            </w:r>
          </w:p>
          <w:p>
            <w:pPr>
              <w:pStyle w:val="Normal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5,0 - projekt opracowany zdecydowanie samodzielnie przez studenta, który przedkłada twórcze rozwiązania na każdym etapie projektu;</w:t>
            </w:r>
          </w:p>
          <w:p>
            <w:pPr>
              <w:pStyle w:val="Normal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4,5 - projekt opracowany raczej samodzielnie przez studenta, który wymaga ukierunkowania na wybranych etapach projektu;</w:t>
            </w:r>
          </w:p>
          <w:p>
            <w:pPr>
              <w:pStyle w:val="Normal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4,0 - Projekt opracowany częściowo samodzielnie a częściowo pod kierunkiem nauczyciela. Student wymaga pomocy na wybranych etapach projektu;</w:t>
            </w:r>
          </w:p>
          <w:p>
            <w:pPr>
              <w:pStyle w:val="Normal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3,5 - Projekt opracowany raczej pod kierunkiem nauczyciela, który udziela pomocy na większości etapów projektu</w:t>
            </w:r>
          </w:p>
          <w:p>
            <w:pPr>
              <w:pStyle w:val="Normal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3,0 - Projekt opracowany zdecydowanie pod kierunkiem nauczyciela. Student wymagał stałej pomocy na każdym etapie projektu;</w:t>
            </w:r>
          </w:p>
          <w:p>
            <w:pPr>
              <w:pStyle w:val="Normal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2,0  - Student nie opracował projektu, jego wiedza i umiejętności są niewystarczające na każdym etapie projektu.</w:t>
            </w:r>
          </w:p>
          <w:p>
            <w:pPr>
              <w:pStyle w:val="Normal"/>
              <w:spacing w:before="0" w:after="160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NoSpacing"/>
        <w:ind w:hanging="284" w:left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622"/>
        <w:gridCol w:w="4332"/>
      </w:tblGrid>
      <w:tr>
        <w:trPr/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rPr/>
              <w:t>z harmonogramu</w:t>
            </w:r>
            <w:r>
              <w:rPr>
                <w:rFonts w:ascii="Corbel" w:hAnsi="Corbel"/>
                <w:sz w:val="28"/>
                <w:szCs w:val="28"/>
              </w:rPr>
              <w:t xml:space="preserve"> </w:t>
            </w:r>
            <w:r>
              <w:rPr>
                <w:rFonts w:ascii="Corbel" w:hAnsi="Corbel"/>
              </w:rPr>
              <w:t>studiów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Inne z udziałem nauczyciela akademickiego:</w:t>
            </w:r>
          </w:p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(udział  w kolokwium )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(przygotowanie do zajęć, przygotowanie do kolokwium, egzaminu ustnego, przygotowanie scenariusza do symulacji zajęć,  studiowanie literatury)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73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90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>
      <w:pPr>
        <w:pStyle w:val="Punktygwne"/>
        <w:spacing w:before="0" w:after="0"/>
        <w:ind w:left="426"/>
        <w:rPr>
          <w:rFonts w:ascii="Corbel" w:hAnsi="Corbel"/>
          <w:b w:val="false"/>
          <w:i/>
          <w:i/>
          <w:caps w:val="false"/>
          <w:smallCaps w:val="false"/>
          <w:szCs w:val="24"/>
        </w:rPr>
      </w:pPr>
      <w:r>
        <w:rPr>
          <w:rFonts w:ascii="Corbel" w:hAnsi="Corbel"/>
          <w:b w:val="false"/>
          <w:i/>
          <w:caps w:val="false"/>
          <w:smallCaps w:val="false"/>
          <w:szCs w:val="24"/>
        </w:rPr>
        <w:t>* Należy uwzględnić, że 1 pkt ECTS odpowiada 25-30 godzin całkowitego nakładu pracy studenta.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6. PRAKTYKI ZAWODOWE W RAMACH PRZEDMIOTU</w:t>
      </w:r>
    </w:p>
    <w:p>
      <w:pPr>
        <w:pStyle w:val="Punktygwne"/>
        <w:spacing w:before="0" w:after="0"/>
        <w:ind w:left="36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7514" w:type="dxa"/>
        <w:jc w:val="left"/>
        <w:tblInd w:w="7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544"/>
        <w:gridCol w:w="3970"/>
      </w:tblGrid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r>
          </w:p>
        </w:tc>
      </w:tr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r>
          </w:p>
        </w:tc>
      </w:tr>
    </w:tbl>
    <w:p>
      <w:pPr>
        <w:pStyle w:val="Punktygwne"/>
        <w:spacing w:before="0" w:after="0"/>
        <w:ind w:lef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lef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lef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7. LITERATURA </w:t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7514" w:type="dxa"/>
        <w:jc w:val="left"/>
        <w:tblInd w:w="7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514"/>
      </w:tblGrid>
      <w:tr>
        <w:trPr>
          <w:trHeight w:val="397" w:hRule="atLeast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Literatura podstawowa: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318" w:left="318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Chrzanowska I., Pedagogika specjalna, Impuls, Kraków 2015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318" w:left="318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bCs/>
                <w:caps w:val="false"/>
                <w:smallCaps w:val="false"/>
                <w:color w:val="000000"/>
                <w:szCs w:val="24"/>
              </w:rPr>
              <w:t>Olechowska A., Specjalne potrzeby edukacyjne, PWN Warszawa 2016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318" w:left="318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Romana Cybulska R., Hanna Derewlana H., Kacprzak A., Pęczek K., Uczeń ze specjalnymi potrzebami edukacyjnymi w systemie edukacji w świetle nowych przepisów prawa oświatowego ORE Warszawa 2017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ind w:hanging="318" w:left="318"/>
              <w:jc w:val="both"/>
              <w:rPr>
                <w:rStyle w:val="fontstyle01"/>
                <w:rFonts w:ascii="Corbel" w:hAnsi="Corbel" w:cs="Calibri"/>
              </w:rPr>
            </w:pPr>
            <w:r>
              <w:rPr>
                <w:rStyle w:val="fontstyle01"/>
                <w:rFonts w:ascii="Corbel" w:hAnsi="Corbel"/>
              </w:rPr>
              <w:t>Niepokólczycka-Gac J., Uczeń z SPE - praca z uczniami ze specjalnymi potrzebami edukacyjnym, Oficyna MM, Poznań 2018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ind w:hanging="318" w:left="318"/>
              <w:jc w:val="both"/>
              <w:rPr>
                <w:rStyle w:val="fontstyle21"/>
                <w:rFonts w:ascii="Corbel" w:hAnsi="Corbel"/>
              </w:rPr>
            </w:pPr>
            <w:r>
              <w:rPr>
                <w:rStyle w:val="fontstyle01"/>
                <w:rFonts w:ascii="Corbel" w:hAnsi="Corbel"/>
              </w:rPr>
              <w:t xml:space="preserve">Byers R., Rose R. </w:t>
            </w:r>
            <w:r>
              <w:rPr>
                <w:rStyle w:val="fontstyle21"/>
                <w:rFonts w:ascii="Corbel" w:hAnsi="Corbel"/>
              </w:rPr>
              <w:t xml:space="preserve">— </w:t>
            </w:r>
            <w:r>
              <w:rPr>
                <w:rStyle w:val="fontstyle31"/>
                <w:rFonts w:ascii="Corbel" w:hAnsi="Corbel"/>
              </w:rPr>
              <w:t xml:space="preserve">Jak zaplanować pracę z dziećmi o specjalnych potrzebach edukacyjnych. Opracowanie metodyczne dla nauczycieli, APS, </w:t>
            </w:r>
            <w:r>
              <w:rPr>
                <w:rStyle w:val="fontstyle21"/>
                <w:rFonts w:ascii="Corbel" w:hAnsi="Corbel"/>
              </w:rPr>
              <w:t>Warszawa, 2002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ind w:hanging="318" w:left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bCs/>
                <w:color w:val="000000"/>
              </w:rPr>
              <w:t>Gładyszewska-Cylulko J., Specjalne potrzeby edukacyjne uczniów z niepełnosprawnościami, Impuls, Kraków 2017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ind w:hanging="318" w:left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bCs/>
                <w:color w:val="000000"/>
              </w:rPr>
              <w:t>Thompson J., Specjalne potrzeby edukacyjne. Wskazówki dla nauczyciela, PWN, Warszawa 2013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ind w:hanging="318" w:left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bCs/>
                <w:color w:val="000000"/>
              </w:rPr>
              <w:t>Lubińska-Kościółek E., Plutecka K., Stymulowanie potencjału twórczego osób z różnymi potrzebami edukacyjnymi, Impuls, Kraków 2011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ind w:hanging="318" w:left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bCs/>
                <w:color w:val="000000"/>
              </w:rPr>
              <w:t>Czarnocka M., Organizacja kształcenia uczniów ze specjalnymi potrzebami. Wskazówki dla dyrektorów i nauczycieli, Wiedza i praktyka 2016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ind w:hanging="318" w:left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Woroniecka-Borowska A., Prawne aspekty kształcenia ucznia zdolnego, ORE, Warszawa 2019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ind w:hanging="318" w:left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Pisula E., Autyzm. Przyczyny, symptomy, terapia. Harmonia, Gdańsk 2015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ind w:hanging="318" w:left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Seria wydawnicza: One są wśród nas – Biblioteka cyfrowa ORE http://bc.ore.edu.pl/dlibra/collectiondescription?dirids=20</w:t>
            </w:r>
          </w:p>
        </w:tc>
      </w:tr>
      <w:tr>
        <w:trPr>
          <w:trHeight w:val="397" w:hRule="atLeast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Literatura uzupełniająca:</w:t>
            </w:r>
          </w:p>
          <w:p>
            <w:pPr>
              <w:pStyle w:val="Normal"/>
              <w:numPr>
                <w:ilvl w:val="0"/>
                <w:numId w:val="3"/>
              </w:numPr>
              <w:spacing w:lineRule="auto" w:line="240" w:before="0" w:after="0"/>
              <w:ind w:hanging="318" w:left="318"/>
              <w:rPr>
                <w:rStyle w:val="fontstyle01"/>
                <w:rFonts w:ascii="Corbel" w:hAnsi="Corbel" w:cs="Calibri"/>
              </w:rPr>
            </w:pPr>
            <w:r>
              <w:rPr>
                <w:rStyle w:val="fontstyle01"/>
                <w:rFonts w:ascii="Corbel" w:hAnsi="Corbel"/>
              </w:rPr>
              <w:t>Dykcik W., Pedagogika specjalna, Wyd. UAM, Poznań 2010</w:t>
            </w:r>
          </w:p>
          <w:p>
            <w:pPr>
              <w:pStyle w:val="Normal"/>
              <w:numPr>
                <w:ilvl w:val="0"/>
                <w:numId w:val="3"/>
              </w:numPr>
              <w:spacing w:lineRule="auto" w:line="240" w:before="0" w:after="0"/>
              <w:ind w:hanging="318" w:left="318"/>
              <w:rPr>
                <w:rStyle w:val="fontstyle21"/>
                <w:rFonts w:ascii="Corbel" w:hAnsi="Corbel"/>
                <w:i w:val="false"/>
                <w:i w:val="false"/>
                <w:iCs w:val="false"/>
              </w:rPr>
            </w:pPr>
            <w:r>
              <w:rPr>
                <w:rStyle w:val="fontstyle01"/>
                <w:rFonts w:ascii="Corbel" w:hAnsi="Corbel"/>
              </w:rPr>
              <w:t>Barłóg K., Mach A., Zaborniak-Sobczak M</w:t>
            </w:r>
            <w:r>
              <w:rPr>
                <w:rStyle w:val="fontstyle21"/>
                <w:rFonts w:ascii="Corbel" w:hAnsi="Corbel"/>
              </w:rPr>
              <w:t xml:space="preserve">.: </w:t>
            </w:r>
            <w:r>
              <w:rPr>
                <w:rStyle w:val="fontstyle31"/>
                <w:rFonts w:ascii="Corbel" w:hAnsi="Corbel"/>
              </w:rPr>
              <w:t>Odkrywanie</w:t>
            </w:r>
            <w:r>
              <w:rPr>
                <w:rFonts w:ascii="Corbel" w:hAnsi="Corbel"/>
                <w:b/>
                <w:bCs/>
              </w:rPr>
              <w:br/>
            </w:r>
            <w:r>
              <w:rPr>
                <w:rStyle w:val="fontstyle31"/>
                <w:rFonts w:ascii="Corbel" w:hAnsi="Corbel"/>
              </w:rPr>
              <w:t xml:space="preserve">talentów. Konteksty edukacji i rozwoju. </w:t>
            </w:r>
            <w:r>
              <w:rPr>
                <w:rStyle w:val="fontstyle21"/>
                <w:rFonts w:ascii="Corbel" w:hAnsi="Corbel"/>
              </w:rPr>
              <w:t>Rzeszów 2012.</w:t>
            </w:r>
          </w:p>
          <w:p>
            <w:pPr>
              <w:pStyle w:val="Normal"/>
              <w:numPr>
                <w:ilvl w:val="0"/>
                <w:numId w:val="3"/>
              </w:numPr>
              <w:spacing w:lineRule="auto" w:line="240" w:before="0" w:after="0"/>
              <w:ind w:hanging="318" w:left="318"/>
              <w:rPr>
                <w:rFonts w:ascii="Corbel" w:hAnsi="Corbel" w:cs="Calibri"/>
                <w:color w:val="000000"/>
              </w:rPr>
            </w:pPr>
            <w:r>
              <w:rPr>
                <w:rStyle w:val="fontstyle01"/>
                <w:rFonts w:ascii="Corbel" w:hAnsi="Corbel"/>
              </w:rPr>
              <w:t>Głodkowska J</w:t>
            </w:r>
            <w:r>
              <w:rPr>
                <w:rStyle w:val="fontstyle21"/>
                <w:rFonts w:ascii="Corbel" w:hAnsi="Corbel"/>
              </w:rPr>
              <w:t xml:space="preserve">.: </w:t>
            </w:r>
            <w:r>
              <w:rPr>
                <w:rStyle w:val="fontstyle31"/>
                <w:rFonts w:ascii="Corbel" w:hAnsi="Corbel"/>
              </w:rPr>
              <w:t>Poznanie ucznia szkoły specjalnej</w:t>
            </w:r>
            <w:r>
              <w:rPr>
                <w:rStyle w:val="fontstyle21"/>
                <w:rFonts w:ascii="Corbel" w:hAnsi="Corbel"/>
              </w:rPr>
              <w:t>. Warszawa</w:t>
            </w:r>
            <w:r>
              <w:rPr>
                <w:rFonts w:ascii="Corbel" w:hAnsi="Corbel"/>
              </w:rPr>
              <w:br/>
            </w:r>
            <w:r>
              <w:rPr>
                <w:rStyle w:val="fontstyle21"/>
                <w:rFonts w:ascii="Corbel" w:hAnsi="Corbel"/>
              </w:rPr>
              <w:t>1999.</w:t>
            </w:r>
          </w:p>
          <w:p>
            <w:pPr>
              <w:pStyle w:val="Normal"/>
              <w:numPr>
                <w:ilvl w:val="0"/>
                <w:numId w:val="3"/>
              </w:numPr>
              <w:spacing w:lineRule="auto" w:line="240" w:before="0" w:after="0"/>
              <w:ind w:hanging="318" w:left="318"/>
              <w:rPr>
                <w:rStyle w:val="fontstyle21"/>
                <w:rFonts w:ascii="Corbel" w:hAnsi="Corbel"/>
                <w:i w:val="false"/>
                <w:i w:val="false"/>
                <w:iCs w:val="false"/>
              </w:rPr>
            </w:pPr>
            <w:r>
              <w:rPr>
                <w:rStyle w:val="fontstyle21"/>
                <w:rFonts w:ascii="Corbel" w:hAnsi="Corbel"/>
              </w:rPr>
              <w:t>Klaczak M., Majewicz P. (red.): Diagnoza i rewalidacja dziecka ze specjalnymi potrzebami edukacyjnymi. Kraków 2006.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318" w:left="318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Lew-Koralewicz A., Zachowania trudne małych dzieci z zaburzeniami rozwoju. Wyd. UR, Rzeszów 2017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18" w:left="318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Bobkowicz-Lewartowska L., Autyzm dziecięcy – zagadnienia diagnozy i terapii, Impuls Kraków, 2011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318" w:left="318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Tanajewska A. Naprawa R., Nowe programy edukacyjno-terapeutyczne dla i etapu nauczania uczniów z niepełnosprawnością intelektualną w stopniu umiarkowanym. Harmonia, Gdańsk, 2017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318" w:left="318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Witczak-Nowotna j. (red.), Wspomaganie uczniów z dysfunkcją wzroku w szkołach ogólnodostępnych, wyd. UW. Warszawa 2010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318" w:left="318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Tanajewska A. Naprawa R., Uczę się czytać, pisać i liczyć. Karty pracy dla uczniów ze specjalnymi potrzebami edukacyjnymi.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318" w:left="318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Barłóg K., Wsparcie wczesnorozwojowe dzieci zagrożonych niepełnosprawnością i niepełnosprawnych, UR Rzeszów 2015</w:t>
            </w:r>
          </w:p>
        </w:tc>
      </w:tr>
    </w:tbl>
    <w:p>
      <w:pPr>
        <w:pStyle w:val="Punktygwne"/>
        <w:spacing w:before="0" w:after="0"/>
        <w:ind w:lef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lef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Normal"/>
        <w:widowControl/>
        <w:bidi w:val="0"/>
        <w:spacing w:lineRule="auto" w:line="278" w:before="0" w:after="160"/>
        <w:jc w:val="left"/>
        <w:rPr/>
      </w:pPr>
      <w:r>
        <w:rPr>
          <w:rFonts w:ascii="Corbel" w:hAnsi="Corbel"/>
        </w:rPr>
        <w:t>Akceptacja Kierownika Jednostki lub osoby upoważnionej</w:t>
      </w:r>
    </w:p>
    <w:sectPr>
      <w:footnotePr>
        <w:numFmt w:val="decimal"/>
      </w:footnote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ptos">
    <w:charset w:val="ee"/>
    <w:family w:val="roman"/>
    <w:pitch w:val="variable"/>
  </w:font>
  <w:font w:name="Aptos Display">
    <w:charset w:val="ee"/>
    <w:family w:val="roman"/>
    <w:pitch w:val="variable"/>
  </w:font>
  <w:font w:name="Calibri">
    <w:charset w:val="ee"/>
    <w:family w:val="swiss"/>
    <w:pitch w:val="variable"/>
  </w:font>
  <w:font w:name="DejaVuSans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Corbel">
    <w:charset w:val="ee"/>
    <w:family w:val="swiss"/>
    <w:pitch w:val="variable"/>
  </w:font>
  <w:font w:name="MS Gothic">
    <w:charset w:val="ee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dstrike w:val="false"/>
        <w:strike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footnotePr>
    <w:numFmt w:val="decimal"/>
    <w:footnote w:id="0"/>
    <w:footnote w:id="1"/>
  </w:footnotePr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e6b01"/>
    <w:pPr>
      <w:widowControl/>
      <w:suppressAutoHyphens w:val="true"/>
      <w:bidi w:val="0"/>
      <w:spacing w:lineRule="auto" w:line="278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9e6b01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9e6b01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9e6b01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9e6b01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9e6b01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9e6b01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9e6b01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9e6b01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9e6b01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9e6b01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9e6b01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9e6b01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9e6b01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9e6b01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9e6b01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9e6b01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9e6b01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9e6b01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9e6b01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9e6b01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9e6b01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9e6b01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9e6b01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9e6b01"/>
    <w:rPr>
      <w:b/>
      <w:bCs/>
      <w:smallCaps/>
      <w:color w:themeColor="accent1" w:themeShade="bf" w:val="0F4761"/>
      <w:spacing w:val="5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9e6b01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Znakiprzypiswdolnych">
    <w:name w:val="Znaki przypisów dolnych"/>
    <w:uiPriority w:val="99"/>
    <w:semiHidden/>
    <w:unhideWhenUsed/>
    <w:qFormat/>
    <w:rsid w:val="009e6b01"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ntstyle01" w:customStyle="1">
    <w:name w:val="fontstyle01"/>
    <w:qFormat/>
    <w:rsid w:val="009e6b01"/>
    <w:rPr>
      <w:rFonts w:ascii="DejaVuSans" w:hAnsi="DejaVuSans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qFormat/>
    <w:rsid w:val="009e6b01"/>
    <w:rPr>
      <w:rFonts w:ascii="Calibri" w:hAnsi="Calibri" w:cs="Calibri"/>
      <w:b w:val="false"/>
      <w:bCs w:val="false"/>
      <w:i/>
      <w:iCs/>
      <w:color w:val="000000"/>
      <w:sz w:val="22"/>
      <w:szCs w:val="22"/>
    </w:rPr>
  </w:style>
  <w:style w:type="character" w:styleId="fontstyle31" w:customStyle="1">
    <w:name w:val="fontstyle31"/>
    <w:qFormat/>
    <w:rsid w:val="009e6b01"/>
    <w:rPr>
      <w:rFonts w:ascii="Calibri" w:hAnsi="Calibri" w:cs="Calibri"/>
      <w:b/>
      <w:bCs/>
      <w:i w:val="false"/>
      <w:iCs w:val="false"/>
      <w:color w:val="000000"/>
      <w:sz w:val="22"/>
      <w:szCs w:val="22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9e6b01"/>
    <w:rPr/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kstpodstawowyZnak"/>
    <w:uiPriority w:val="99"/>
    <w:semiHidden/>
    <w:unhideWhenUsed/>
    <w:rsid w:val="009e6b01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ytuZnak"/>
    <w:uiPriority w:val="10"/>
    <w:qFormat/>
    <w:rsid w:val="009e6b01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9e6b01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9e6b01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9e6b01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9e6b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9e6b01"/>
    <w:pPr>
      <w:spacing w:lineRule="auto" w:line="240" w:before="0" w:after="0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paragraph" w:styleId="Punktygwne" w:customStyle="1">
    <w:name w:val="Punkty główne"/>
    <w:basedOn w:val="Normal"/>
    <w:qFormat/>
    <w:rsid w:val="009e6b01"/>
    <w:pPr>
      <w:spacing w:lineRule="auto" w:line="240" w:before="240" w:after="60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BodyText"/>
    <w:qFormat/>
    <w:rsid w:val="009e6b01"/>
    <w:pPr>
      <w:tabs>
        <w:tab w:val="clear" w:pos="708"/>
        <w:tab w:val="left" w:pos="-5643" w:leader="none"/>
      </w:tabs>
      <w:overflowPunct w:val="true"/>
      <w:spacing w:lineRule="auto" w:line="240" w:before="40" w:after="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"/>
    <w:qFormat/>
    <w:rsid w:val="009e6b01"/>
    <w:pPr>
      <w:spacing w:lineRule="auto" w:line="240" w:before="40" w:after="40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BodyText"/>
    <w:qFormat/>
    <w:rsid w:val="009e6b01"/>
    <w:pPr>
      <w:tabs>
        <w:tab w:val="clear" w:pos="708"/>
        <w:tab w:val="left" w:pos="-5814" w:leader="none"/>
      </w:tabs>
      <w:overflowPunct w:val="true"/>
      <w:spacing w:lineRule="auto" w:line="240" w:before="0" w:after="0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Nagwkitablic" w:customStyle="1">
    <w:name w:val="Nagłówki tablic"/>
    <w:basedOn w:val="BodyText"/>
    <w:uiPriority w:val="99"/>
    <w:qFormat/>
    <w:rsid w:val="009e6b01"/>
    <w:pPr>
      <w:spacing w:lineRule="auto" w:line="276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"/>
    <w:qFormat/>
    <w:rsid w:val="009e6b01"/>
    <w:pPr>
      <w:tabs>
        <w:tab w:val="clear" w:pos="708"/>
        <w:tab w:val="left" w:pos="-5814" w:leader="none"/>
      </w:tabs>
      <w:overflowPunct w:val="true"/>
      <w:spacing w:lineRule="auto" w:line="240" w:before="40" w:after="40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oSpacing">
    <w:name w:val="No Spacing"/>
    <w:uiPriority w:val="1"/>
    <w:qFormat/>
    <w:rsid w:val="009e6b01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  <w14:ligatures w14:val="none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<Relationship Id="rId9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E0C8A8-43D9-458A-AA04-37B7B5E8295F}"/>
</file>

<file path=customXml/itemProps2.xml><?xml version="1.0" encoding="utf-8"?>
<ds:datastoreItem xmlns:ds="http://schemas.openxmlformats.org/officeDocument/2006/customXml" ds:itemID="{0A5C9B20-E171-4DB6-95EC-B110EFF6FD47}"/>
</file>

<file path=customXml/itemProps3.xml><?xml version="1.0" encoding="utf-8"?>
<ds:datastoreItem xmlns:ds="http://schemas.openxmlformats.org/officeDocument/2006/customXml" ds:itemID="{111279DD-D2A2-4D14-9CF6-017FE454F76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Application>LibreOffice/25.8.3.2$Windows_x86 LibreOffice_project/8ca8d55c161d602844f5428fa4b58097424e324e</Application>
  <AppVersion>15.0000</AppVersion>
  <Pages>7</Pages>
  <Words>1548</Words>
  <Characters>10802</Characters>
  <CharactersWithSpaces>12318</CharactersWithSpaces>
  <Paragraphs>211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2025-12-18T09:14:00Z</dcterms:created>
  <dc:creator>Anna Szczepaniec</dc:creator>
  <dc:description/>
  <dc:language>pl-PL</dc:language>
  <cp:lastModifiedBy/>
  <dcterms:modified xsi:type="dcterms:W3CDTF">2026-03-03T19:59:12Z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